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sz w:val="28"/>
          <w:szCs w:val="28"/>
          <w:rtl w:val="0"/>
        </w:rPr>
        <w:t xml:space="preserve">Erin Huneke - Oboe, English horn, Reed-making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Every student is different; my favorite part of teaching is working with each individual to find what makes them excited about music, their instrument, and getting better. I teach a combination of technique exercises, études, chamber music, and solo repertoire, tailored for each student based on age, experience, and interest. Below is a general idea of what I teach to students of various 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English horn:</w:t>
      </w:r>
      <w:r w:rsidDel="00000000" w:rsidR="00000000" w:rsidRPr="00000000">
        <w:rPr>
          <w:rFonts w:ascii="Georgia" w:cs="Georgia" w:eastAsia="Georgia" w:hAnsi="Georgia"/>
          <w:rtl w:val="0"/>
        </w:rPr>
        <w:t xml:space="preserve"> When oboe students reach a certain point, usually sometime in high school, I incorporate English horn playing into lessons. This depends on the student’s access to an instrument, but for everyone who wishes to play beyond the high school level, English horn playing is a critical skill.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Reed-making: </w:t>
      </w:r>
      <w:r w:rsidDel="00000000" w:rsidR="00000000" w:rsidRPr="00000000">
        <w:rPr>
          <w:rFonts w:ascii="Georgia" w:cs="Georgia" w:eastAsia="Georgia" w:hAnsi="Georgia"/>
          <w:rtl w:val="0"/>
        </w:rPr>
        <w:t xml:space="preserve">Reed-making is an essential skill for for any oboist hoping to take their playing to a college or professional level. Most students begin their reed-making studies in their mid-high school years. Reed-making can be incorporated into normal lessons, but will require more time on a weekly or bi-weekly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Grades 6-8: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Basic music theory through an understanding of major and minor scales, scale patterns, basic arpeggios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Technique and music-reading through Barret Etudes: 40 melodies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Playing with others through duets including the Barret book melodies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Solo repertoire appropriate to ability, including music for school solo and ensemble competitions</w:t>
      </w:r>
    </w:p>
    <w:p w:rsidR="00000000" w:rsidDel="00000000" w:rsidP="00000000" w:rsidRDefault="00000000" w:rsidRPr="00000000">
      <w:pPr>
        <w:numPr>
          <w:ilvl w:val="0"/>
          <w:numId w:val="3"/>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Musicality through an introduction to basic ideas of phrasing and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Grades 9-10: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Continuation of all above concepts. </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Scales in thirds, arpeggios, introduction to the concept of long tones</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Technique through Barret: articulation studies and beginning the 16 Grand Studies, Prestini etudes</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Playing with others through Barret, baroque duets and trio sonatas</w:t>
      </w:r>
    </w:p>
    <w:p w:rsidR="00000000" w:rsidDel="00000000" w:rsidP="00000000" w:rsidRDefault="00000000" w:rsidRPr="00000000">
      <w:pPr>
        <w:numPr>
          <w:ilvl w:val="0"/>
          <w:numId w:val="2"/>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Solo repertoire appropriate to ability as applies to school solo and ensemble competitions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Grades 11-12: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Scales in fourths, arpeggios, long tones</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Technique through Barret 16 Grand Studies, a return to some of the 40 melodies for advanced melodic technique, Prestini etudes</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An introduction to standard chamber music for oboe</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Standard solo repertoire</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An introduction to orchestral excerpts and audition-taking</w:t>
      </w:r>
    </w:p>
    <w:p w:rsidR="00000000" w:rsidDel="00000000" w:rsidP="00000000" w:rsidRDefault="00000000" w:rsidRPr="00000000">
      <w:pPr>
        <w:numPr>
          <w:ilvl w:val="0"/>
          <w:numId w:val="4"/>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Other projects tailored to the student’s future plans, e.g. English horn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Adult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Lesson plans for all post-high school students are tailored to each player’s end goals, overall ability, and current involvement with music.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